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四川省抗击新冠肺炎疫情先进基层党组织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拟表彰对象名单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（100个）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成都市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10个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成都市疾病预防控制中心党委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成都市委城乡社区发展治理委员会机关党总支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成都市青羊区工业集中发展区党工委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成都市武侯区疾病预防控制中心党支部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成都市新都区中医医院党委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成都市温江区卫健系统党工委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成都市公安局双流区分局巡警大队党支部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成都市双流区东升街道五洞桥社区党委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成都市新津事丰医疗器械有限公司党支部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彭州市天府中药城党工委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default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自贡市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4个）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自贡市第一人民医院党委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自贡市沿滩区卫坪街道沿湖社区党总支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中昊晨光化工研究院有限公司工程塑料厂党支部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自贡市卫生健康委员会党委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default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攀枝花市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攀枝花市交通运输局党委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攀枝花市第四人民医院党委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攀枝花钢城集团雅圣实业有限公司党总支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default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泸州市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4个）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泸州市龙马潭区石洞街道张家祠社区党委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古蔺县公安局双沙片区党支部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泸州市江阳区疾病预防控制中心党支部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合江县人民医院党委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default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德阳市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4个）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德阳市旌阳区疾病预防控制中心党支部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绵竹市孝德镇年画村党支部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中江县公安局党委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德阳市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卫生健康委员会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default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绵阳市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4个）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绵阳市中心医院党委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四川绵阳四〇四医院党委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绵阳市公安局特巡警支队党总支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际华三五三六实业有限公司党委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default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广元市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4个）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苍溪县陵江镇党委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广元火车站应对新型冠状病毒感染肺炎疫情防控卡点临时党支部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广元市第三人民医院党委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广元市疾病预防控制中心第三党支部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default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遂宁市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遂宁市疾病预防控制中心党支部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四川省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遂宁市康达卫生材料有限公司党支部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遂宁市船山区慈音街道党工委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default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内江市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4个）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内江市市中区疾病预防控制中心党支部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内江市公交集团党委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内江市公安局交通警察支队机关党委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内江市第二人民医院内科四党支部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default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乐山市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4个）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乐山市人民医院党委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乐山市市中区海棠街道府街社区党委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乐山市公安局交通警察支队党总支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马边彝族自治县荍坝镇金华村党支部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default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南充市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4个）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南充市卫生健康委员会党委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西充县人民医院党总支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营山县疾病预防控制中心党支部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南充市公安局党委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default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宜宾市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4个）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宜宾市翠屏区牟坪镇党委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四川普瑞斯生物科技有限公司党支部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宜宾市卫生健康委员会党委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四川省宜宾五粮液集团有限公司党委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default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广安市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广安市公安局广安区分局党委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广安市广安区浓洄街道党工委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邻水县卫生健康局党委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default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达州市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达州市中心医院党委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达州市公安局党委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宣汉县人民医院党委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default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巴中市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4个）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巴中市中心医院内科第四党支部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巴中市公安局交通警察支队党委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通江县公安局洪口派出所党支部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平昌县疾病预防控制中心党支部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default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雅安市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4个）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雅安市人民医院感染科党支部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雅安市疾病预防控制中心党总支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芦山县公安局清仁派出所党支部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石棉县中医医院党支部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adjustRightInd w:val="0"/>
              <w:snapToGrid w:val="0"/>
              <w:spacing w:line="620" w:lineRule="exact"/>
              <w:rPr>
                <w:rFonts w:hint="default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眉山市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4个）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眉山市公安局交通警察支队党委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眉山市东坡区人民医院呼吸内科党支部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仁寿县疾病预防控制中心党支部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洪雅县洪川镇时代帝景小区党支部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default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资阳市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4个）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资阳市疾病预防控制中心党支部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资阳市人民医院党委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资阳市雁江区莲花街道滨江路社区党支部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四川省乐至贵均卫生材料有限公司党支部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default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阿坝州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阿坝州卫生健康委员会党委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金川县公安局党委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lang w:eastAsia="zh-CN"/>
              </w:rPr>
              <w:t>茂县南新镇党委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default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甘孜州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甘孜州人民医院党委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康定市卫生健康局党委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色达县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中心党支部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default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凉山州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凉山州第一人民医院党委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凉山州公安局党委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盐源县人民医院党委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default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省直机关工委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9个）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省卫生健康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委员会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疾病预防控制处党支部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公安厅机场公安局情报指挥支队党支部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经济和信息化厅医药产业处党支部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成都海关所属成都双流机场海关监管一科党支部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省市场监督管理局食品经营安全监督管理处党支部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教育厅体育卫生与艺术教育处党支部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交通运输厅高速公路管理局（执法总队）党支部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省环境应急与事故调查中心党支部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省红十字会备灾救灾中心党支部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default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省卫生健康委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6个）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</w:rPr>
              <w:t>四川大学华西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highlight w:val="none"/>
                <w:lang w:eastAsia="zh-CN"/>
              </w:rPr>
              <w:t>医院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四川省医学科学院·四川省人民医院呼吸与危重症医学科党支部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省疾病预防控制中心急性传染病预防控制所党支部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西南医科大学附属医院党委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川北医学院附属医院党委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</w:rPr>
              <w:t>四川省骨科医院内科（重症医学科）党支部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</w:rPr>
              <w:t>省国资委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2个）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中国铁路成都局集团有限公司成都车站党委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成都双流国际机场股份有限公司党委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D59A0"/>
    <w:rsid w:val="14E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240" w:lineRule="auto"/>
    </w:pPr>
    <w:rPr>
      <w:rFonts w:ascii="Times New Roman" w:hAns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2020-10-26T02:49:00Z</dcterms:created>
  <dc:creator>黄浩琳</dc:creator>
  <cp:lastModifiedBy>黄浩琳</cp:lastModifiedBy>
  <dcterms:modified xsi:type="dcterms:W3CDTF">2020-10-26T02:50:54Z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