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大英县消防救援大队</w:t>
      </w:r>
      <w:r>
        <w:rPr>
          <w:rFonts w:eastAsia="方正小标宋简体"/>
          <w:sz w:val="44"/>
          <w:szCs w:val="44"/>
          <w:lang w:val="zh-CN"/>
        </w:rPr>
        <w:t>公开招聘合同制消防员</w:t>
      </w:r>
      <w:r>
        <w:rPr>
          <w:rFonts w:eastAsia="方正小标宋简体"/>
          <w:sz w:val="44"/>
          <w:szCs w:val="44"/>
        </w:rPr>
        <w:t>体能测试内容及评分标准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47"/>
        <w:gridCol w:w="948"/>
        <w:gridCol w:w="948"/>
        <w:gridCol w:w="949"/>
        <w:gridCol w:w="948"/>
        <w:gridCol w:w="948"/>
        <w:gridCol w:w="948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2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得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</w:p>
        </w:tc>
        <w:tc>
          <w:tcPr>
            <w:tcW w:w="3792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30周岁以下（含30岁）</w:t>
            </w:r>
          </w:p>
        </w:tc>
        <w:tc>
          <w:tcPr>
            <w:tcW w:w="3788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sz w:val="24"/>
                <w:szCs w:val="24"/>
              </w:rPr>
              <w:t>00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米跑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100米跑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仰卧起坐（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分钟）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俯卧撑（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分钟）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3000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米跑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100米跑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仰卧起坐（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分钟）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俯卧撑（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73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79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67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67</w:t>
            </w:r>
            <w:r>
              <w:rPr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67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67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61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  <w:r>
              <w:rPr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61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59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″50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47</w:t>
            </w:r>
            <w:r>
              <w:rPr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51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46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41</w:t>
            </w:r>
            <w:r>
              <w:rPr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″50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43</w:t>
            </w:r>
            <w:r>
              <w:rPr>
                <w:sz w:val="24"/>
                <w:szCs w:val="24"/>
              </w:rPr>
              <w:t>次</w:t>
            </w:r>
          </w:p>
        </w:tc>
        <w:tc>
          <w:tcPr>
            <w:tcW w:w="9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37</w:t>
            </w:r>
            <w:r>
              <w:rPr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94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</w:t>
            </w:r>
          </w:p>
        </w:tc>
        <w:tc>
          <w:tcPr>
            <w:tcW w:w="7580" w:type="dxa"/>
            <w:gridSpan w:val="8"/>
            <w:noWrap w:val="0"/>
            <w:vAlign w:val="top"/>
          </w:tcPr>
          <w:p>
            <w:pPr>
              <w:pStyle w:val="5"/>
              <w:spacing w:line="460" w:lineRule="exact"/>
              <w:ind w:firstLine="0" w:firstLineChars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单项成绩低于60分为不合格。</w:t>
            </w:r>
          </w:p>
          <w:p>
            <w:pPr>
              <w:pStyle w:val="2"/>
              <w:shd w:val="clear" w:color="auto" w:fill="FFFFFF"/>
              <w:spacing w:before="0" w:after="0" w:line="46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2.体能测试总成绩按100分计算，四个科目各占25%。</w:t>
            </w:r>
          </w:p>
          <w:p>
            <w:pPr>
              <w:spacing w:line="4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3.体能测试评分标准解释权归大英县消防救援大队。</w:t>
            </w:r>
          </w:p>
          <w:p>
            <w:pPr>
              <w:spacing w:line="460" w:lineRule="exact"/>
              <w:jc w:val="left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4.计时科目均不包含本级。（例15′＜60分≤16′；14′＜70分≤15′）。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4431C"/>
    <w:rsid w:val="041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2020-08-04T08:12:00Z</dcterms:created>
  <dc:creator>无厘头</dc:creator>
  <cp:lastModifiedBy>无厘头</cp:lastModifiedBy>
  <dcterms:modified xsi:type="dcterms:W3CDTF">2020-08-04T08:12:57Z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